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5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bookmarkStart w:id="0" w:name="gjdgxs"/>
      <w:bookmarkEnd w:id="0"/>
    </w:p>
    <w:p>
      <w:pPr>
        <w:pStyle w:val="Ttulododocumento"/>
        <w:ind w:left="0" w:right="-52" w:hanging="0"/>
        <w:jc w:val="center"/>
        <w:rPr>
          <w:sz w:val="26"/>
          <w:szCs w:val="26"/>
        </w:rPr>
      </w:pPr>
      <w:r>
        <w:rPr>
          <w:sz w:val="26"/>
          <w:szCs w:val="26"/>
        </w:rPr>
        <w:t>Estudo Técnico Preliminar 01/2023 – Almoxarifado - PqRMnt/5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Liberation Serif" w:hAnsi="Liberation Serif" w:eastAsia="Liberation Serif" w:cs="Liberation Serif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268" w:after="0"/>
        <w:ind w:left="384" w:right="0" w:hanging="270"/>
        <w:jc w:val="both"/>
        <w:rPr/>
      </w:pPr>
      <w:r>
        <w:rPr>
          <w:sz w:val="24"/>
          <w:szCs w:val="24"/>
        </w:rPr>
        <w:t>INFORMAÇÕES BÁSICAS</w:t>
      </w:r>
    </w:p>
    <w:p>
      <w:pPr>
        <w:pStyle w:val="Normal"/>
        <w:pageBreakBefore w:val="false"/>
        <w:widowControl/>
        <w:shd w:val="clear" w:fill="auto"/>
        <w:spacing w:lineRule="auto" w:line="240" w:before="234" w:after="0"/>
        <w:ind w:right="0" w:hanging="0"/>
        <w:jc w:val="both"/>
        <w:rPr/>
      </w:pPr>
      <w:r>
        <w:rPr>
          <w:rFonts w:eastAsia="Liberation Serif" w:cs="Liberation Serif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 w:val="false"/>
          <w:bCs w:val="false"/>
          <w:color w:val="00000A"/>
          <w:kern w:val="0"/>
          <w:sz w:val="24"/>
          <w:szCs w:val="24"/>
          <w:lang w:val="pt-PT" w:eastAsia="zh-CN" w:bidi="hi-IN"/>
        </w:rPr>
        <w:t>Dispensa 40.2023</w:t>
      </w:r>
      <w:r>
        <w:rPr>
          <w:rFonts w:eastAsia="Times new roman" w:cs="Times new roman" w:ascii="Times new roman" w:hAnsi="Times new roman"/>
          <w:b/>
          <w:color w:val="00000A"/>
          <w:kern w:val="0"/>
          <w:sz w:val="24"/>
          <w:szCs w:val="24"/>
          <w:lang w:val="pt-PT" w:eastAsia="zh-CN" w:bidi="hi-IN"/>
        </w:rPr>
        <w:t xml:space="preserve"> </w:t>
      </w:r>
    </w:p>
    <w:p>
      <w:pPr>
        <w:pStyle w:val="Normal"/>
        <w:widowControl/>
        <w:shd w:val="clear" w:fill="auto"/>
        <w:spacing w:lineRule="auto" w:line="240" w:before="234" w:after="0"/>
        <w:ind w:right="0" w:hanging="0"/>
        <w:jc w:val="both"/>
        <w:rPr/>
      </w:pPr>
      <w:r>
        <w:rPr>
          <w:rFonts w:eastAsia="Times new roman" w:cs="Times new roman" w:ascii="Times new roman" w:hAnsi="Times new roman"/>
          <w:b/>
          <w:color w:val="00000A"/>
          <w:kern w:val="0"/>
          <w:sz w:val="24"/>
          <w:szCs w:val="24"/>
          <w:lang w:val="pt-PT" w:eastAsia="zh-CN" w:bidi="hi-IN"/>
        </w:rPr>
        <w:tab/>
      </w:r>
      <w:r>
        <w:rPr>
          <w:rFonts w:eastAsia="Times new roman" w:cs="Times new roman" w:ascii="Times new roman" w:hAnsi="Times new roman"/>
          <w:b w:val="false"/>
          <w:bCs w:val="false"/>
          <w:color w:val="00000A"/>
          <w:kern w:val="0"/>
          <w:sz w:val="24"/>
          <w:szCs w:val="24"/>
          <w:lang w:val="pt-PT" w:eastAsia="zh-CN" w:bidi="hi-IN"/>
        </w:rPr>
        <w:t>NUP</w:t>
      </w:r>
      <w:r>
        <w:rPr>
          <w:rFonts w:eastAsia="Times new roman" w:cs="Times new roman" w:ascii="Times new roman" w:hAnsi="Times new roman"/>
          <w:b/>
          <w:color w:val="00000A"/>
          <w:kern w:val="0"/>
          <w:sz w:val="24"/>
          <w:szCs w:val="24"/>
          <w:lang w:val="pt-PT" w:eastAsia="zh-CN" w:bidi="hi-IN"/>
        </w:rPr>
        <w:t xml:space="preserve"> </w:t>
      </w:r>
      <w:r>
        <w:rPr>
          <w:rFonts w:eastAsia="Times new roman" w:cs="Times new roman" w:ascii="Times new roman" w:hAnsi="Times new roman"/>
          <w:color w:val="00000A"/>
          <w:kern w:val="0"/>
          <w:sz w:val="24"/>
          <w:szCs w:val="24"/>
          <w:lang w:val="pt-PT" w:eastAsia="zh-CN" w:bidi="hi-IN"/>
        </w:rPr>
        <w:t>64618.</w:t>
      </w:r>
      <w:r>
        <w:rPr>
          <w:rFonts w:eastAsia="Times new roman" w:cs="Times new roman" w:ascii="Times new roman" w:hAnsi="Times new roman"/>
          <w:sz w:val="24"/>
          <w:szCs w:val="24"/>
        </w:rPr>
        <w:t>006444/2023-88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both"/>
        <w:rPr/>
      </w:pPr>
      <w:r>
        <w:rPr>
          <w:sz w:val="24"/>
          <w:szCs w:val="24"/>
        </w:rPr>
        <w:t>DESCRIÇÃO DA NECESSIDADE</w:t>
      </w:r>
    </w:p>
    <w:p>
      <w:pPr>
        <w:pStyle w:val="Ttulo1"/>
        <w:tabs>
          <w:tab w:val="clear" w:pos="720"/>
          <w:tab w:val="left" w:pos="384" w:leader="none"/>
        </w:tabs>
        <w:spacing w:lineRule="auto" w:line="240" w:before="0" w:after="0"/>
        <w:ind w:left="498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3.1 O presente estudo tem como finalidade analisar a viabilidade da aquisição do material ora pretendido, a partir da manifestação de interesse em realizar a aquisição de 720 litros de hipoclorito de sódio,em teor de 12%, na modalidade dispensa de licitação.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tabs>
          <w:tab w:val="clear" w:pos="720"/>
          <w:tab w:val="left" w:pos="384" w:leader="none"/>
        </w:tabs>
        <w:spacing w:lineRule="auto" w:line="240" w:before="152" w:after="0"/>
        <w:ind w:left="384" w:right="0" w:hanging="270"/>
        <w:jc w:val="both"/>
        <w:rPr>
          <w:rFonts w:ascii="Liberation Serif" w:hAnsi="Liberation Serif" w:eastAsia="Liberation Serif" w:cs="Liberation Serif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/>
          <w:vertAlign w:val="baseline"/>
        </w:rPr>
      </w:pPr>
      <w:r>
        <w:rPr>
          <w:b/>
          <w:sz w:val="24"/>
          <w:szCs w:val="24"/>
        </w:rPr>
        <w:t>ÁREA REQUISITANTE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384" w:leader="none"/>
        </w:tabs>
        <w:spacing w:lineRule="auto" w:line="240" w:before="152" w:after="0"/>
        <w:ind w:right="0" w:hanging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Table1"/>
        <w:tblW w:w="9570" w:type="dxa"/>
        <w:jc w:val="left"/>
        <w:tblInd w:w="0" w:type="dxa"/>
        <w:tblLayout w:type="fixed"/>
        <w:tblCellMar>
          <w:top w:w="100" w:type="dxa"/>
          <w:left w:w="90" w:type="dxa"/>
          <w:bottom w:w="100" w:type="dxa"/>
          <w:right w:w="100" w:type="dxa"/>
        </w:tblCellMar>
        <w:tblLook w:val="0600"/>
      </w:tblPr>
      <w:tblGrid>
        <w:gridCol w:w="3659"/>
        <w:gridCol w:w="5910"/>
      </w:tblGrid>
      <w:tr>
        <w:trPr/>
        <w:tc>
          <w:tcPr>
            <w:tcW w:w="3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 Nova" w:cs="Arial Nova" w:ascii="Arial Nova" w:hAnsi="Arial Nova"/>
                <w:b/>
                <w:sz w:val="24"/>
                <w:szCs w:val="24"/>
              </w:rPr>
              <w:t>Área Requisitante</w:t>
            </w:r>
          </w:p>
        </w:tc>
        <w:tc>
          <w:tcPr>
            <w:tcW w:w="5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 Nova" w:cs="Arial Nova" w:ascii="Arial Nova" w:hAnsi="Arial Nova"/>
                <w:b/>
                <w:sz w:val="24"/>
                <w:szCs w:val="24"/>
              </w:rPr>
              <w:t>Responsável</w:t>
            </w:r>
          </w:p>
        </w:tc>
      </w:tr>
      <w:tr>
        <w:trPr/>
        <w:tc>
          <w:tcPr>
            <w:tcW w:w="3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Almoxarifado</w:t>
            </w:r>
          </w:p>
        </w:tc>
        <w:tc>
          <w:tcPr>
            <w:tcW w:w="5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4842" w:leader="none"/>
              </w:tabs>
              <w:spacing w:lineRule="auto" w:line="240" w:before="39" w:after="0"/>
              <w:ind w:left="159" w:hanging="0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GEORGE DE ARAUJO SOARES</w:t>
            </w:r>
          </w:p>
        </w:tc>
      </w:tr>
    </w:tbl>
    <w:p>
      <w:pPr>
        <w:pStyle w:val="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4842" w:leader="none"/>
        </w:tabs>
        <w:spacing w:lineRule="auto" w:line="240" w:before="39" w:after="0"/>
        <w:ind w:left="159" w:right="0" w:hanging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both"/>
        <w:rPr/>
      </w:pPr>
      <w:r>
        <w:rPr>
          <w:sz w:val="24"/>
          <w:szCs w:val="24"/>
        </w:rPr>
        <w:t>REQUISITOS DA CONTRATAÇÃO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5" w:after="0"/>
        <w:ind w:left="114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sz w:val="24"/>
          <w:szCs w:val="24"/>
        </w:rPr>
        <w:t>4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.1 A licitante interessada deverá: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7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114" w:right="443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sz w:val="24"/>
          <w:szCs w:val="24"/>
        </w:rPr>
        <w:t>4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.2 Ser empresa do ramo de atividade que guarde pertinência e compatibilidade em características, quantidades e prazos com o objeto da contratação;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6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sz w:val="24"/>
          <w:szCs w:val="24"/>
        </w:rPr>
        <w:t>4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.3 Ter conhecimento de que seu credenciamento junto ao provedor do sistema implicará a responsabilidade do licitante ou de seu representante legal e a presunção de sua capacidade técnica para realização das transações inerentes a este processo licitatório.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6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184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sz w:val="24"/>
          <w:szCs w:val="24"/>
        </w:rPr>
        <w:t>4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.4 Realizar os cadastros necessários, conforme exigências especificadas do Edital, bem como, conferir seus dados cadastrais no SICAF e mantê-los atualizados, junto aos órgãos responsáveis pela informação, devendo proceder, imediatamente a correção, ou a alteração dos registros tão logo identifique a incorreção, bem com àqueles que se tornem desatualizados. Atender todas as demais exigências descritas no respectivo termo de referência bem como no edital da licitação.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both"/>
        <w:rPr/>
      </w:pPr>
      <w:r>
        <w:rPr>
          <w:sz w:val="24"/>
          <w:szCs w:val="24"/>
        </w:rPr>
        <w:t>LEVANTAMENTO DE MERCADO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6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sz w:val="24"/>
          <w:szCs w:val="24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Foram consideradas, na pesquisa de preços, contratações </w:t>
      </w:r>
      <w:r>
        <w:rPr>
          <w:sz w:val="24"/>
          <w:szCs w:val="24"/>
        </w:rPr>
        <w:t>similares feitas por órgãos da administração pública federal.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Ainda, buscou-se por empresas em que a área de atuação que estejam alinhadas com o objeto da contratação. Dessa maneira, compreende-se que o resultado da pesquisa de preços será realista, assim como a solução apresentada por elas atenderão à necessidade apresentada em estudo, de forma satisfatória e que atenda ao princípio da economicidade.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DESCRIÇÃO DA SOLUÇÃO COMO UM TODO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0" w:right="162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0" w:right="162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 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0" w:right="162" w:hanging="0"/>
        <w:jc w:val="both"/>
        <w:rPr/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</w:r>
      <w:r>
        <w:rPr>
          <w:sz w:val="24"/>
          <w:szCs w:val="24"/>
        </w:rPr>
        <w:t>A aquisição de 720 litros de hipoclorito de sódio tem por finalidade proporcionar a desinfecção da água consumida pelos militares da OM. A quantidade adquirida visa atender à necessidade do Parque Regional de Manutenção/5 com este produto para os meses de outubro a novembro de 2023.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114" w:right="162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114" w:right="162" w:hanging="0"/>
        <w:jc w:val="both"/>
        <w:rPr>
          <w:sz w:val="24"/>
          <w:szCs w:val="24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 Deve-se levar em consideração as normas técnicas eventualmente existentes, elaboradas pela Associação Brasileira de Normas Técnicas – ABNT, quanto a requisitos mínimos de qualidade, utilidade, resistência e segurança, nos termos da Lei n° 4.150, de 1962.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114" w:right="162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1" w:after="0"/>
        <w:ind w:left="114" w:right="162" w:hanging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ESTIMATIVA DAS QUANTIDADES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235" w:after="0"/>
        <w:ind w:left="114" w:right="184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 A metodologia adotada para a verificação da estimativa do quantitativo a ser contratado se deu por meio de </w:t>
      </w:r>
      <w:r>
        <w:rPr>
          <w:sz w:val="24"/>
          <w:szCs w:val="24"/>
        </w:rPr>
        <w:t>levantamento de consumo de água e quantidades de produto a ser aplicado, feito pelo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servidor civil/ engenheiro químico da OM</w:t>
      </w:r>
      <w:r>
        <w:rPr>
          <w:sz w:val="24"/>
          <w:szCs w:val="24"/>
        </w:rPr>
        <w:t>, a qual pode variar para mais ou menos dependendo de diversos fatores.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5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sz w:val="24"/>
          <w:szCs w:val="24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A demanda atual surgiu devido ao fato da necessidade </w:t>
      </w:r>
      <w:r>
        <w:rPr>
          <w:sz w:val="24"/>
          <w:szCs w:val="24"/>
        </w:rPr>
        <w:t>de se ter em estoque, uma quantidade que atenda o consumo desse material para os meses de outubro e novembro.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ESTIMATIVA DO VALOR DA CONTRATAÇÃO</w:t>
      </w:r>
    </w:p>
    <w:p>
      <w:pPr>
        <w:pStyle w:val="Normal"/>
        <w:spacing w:lineRule="auto" w:line="252" w:before="225" w:after="0"/>
        <w:ind w:left="114" w:right="-52" w:hanging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ab/>
      </w: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 xml:space="preserve"> Conforme já explicado  anteriormente, seguimos a metodologia pesquisa de preço de mercado utilizando </w:t>
      </w:r>
      <w:r>
        <w:rPr>
          <w:rFonts w:eastAsia="Times New Roman" w:cs="Times New Roman" w:ascii="Times New Roman" w:hAnsi="Times New Roman"/>
          <w:sz w:val="26"/>
          <w:szCs w:val="26"/>
        </w:rPr>
        <w:t>contratações similares feitas por órgãos da administração pública federal.</w:t>
      </w: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 xml:space="preserve">,  para compor o processo </w:t>
      </w:r>
      <w:r>
        <w:rPr>
          <w:rFonts w:eastAsia="Times New Roman" w:cs="Times New Roman" w:ascii="Times New Roman" w:hAnsi="Times New Roman"/>
          <w:sz w:val="26"/>
          <w:szCs w:val="26"/>
        </w:rPr>
        <w:t>licitatório</w:t>
      </w: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 xml:space="preserve"> em questão.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519" w:leader="none"/>
        </w:tabs>
        <w:spacing w:lineRule="auto" w:line="240" w:before="151" w:after="0"/>
        <w:ind w:left="141" w:right="0"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>9. JUSTIFICATIVA PARA O PARCELAMENTO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235" w:after="0"/>
        <w:ind w:left="114" w:right="168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Foi adotado o método empírico para avaliação sobre a divisibilidade do objeto, assim pode-se observar pela especificidade do </w:t>
      </w:r>
      <w:r>
        <w:rPr>
          <w:sz w:val="24"/>
          <w:szCs w:val="24"/>
        </w:rPr>
        <w:t>material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, que não há a necessidade </w:t>
      </w:r>
      <w:r>
        <w:rPr>
          <w:sz w:val="24"/>
          <w:szCs w:val="24"/>
        </w:rPr>
        <w:t>de se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fornecer parceladamente o ma</w:t>
      </w:r>
      <w:r>
        <w:rPr>
          <w:sz w:val="24"/>
          <w:szCs w:val="24"/>
        </w:rPr>
        <w:t>terial devido a quantidade de material a ser adquirida.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tabs>
          <w:tab w:val="clear" w:pos="720"/>
          <w:tab w:val="left" w:pos="519" w:leader="none"/>
        </w:tabs>
        <w:spacing w:lineRule="auto" w:line="240" w:before="160" w:after="0"/>
        <w:ind w:left="141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10. CONTRATAÇÕES CORRELATAS E/OU INTERDEPENDENTES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5" w:after="0"/>
        <w:ind w:left="114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>Não se aplica ao objeto da contratação sob estudo.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tabs>
          <w:tab w:val="clear" w:pos="720"/>
          <w:tab w:val="left" w:pos="519" w:leader="none"/>
        </w:tabs>
        <w:spacing w:lineRule="auto" w:line="240" w:before="0" w:after="0"/>
        <w:ind w:left="141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11. ALINHAMENTO ENTRE A CONTRATAÇÃO E O PLANEJAMENTO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235" w:after="0"/>
        <w:ind w:left="114" w:right="339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 O alinhamento entre a aquisição e o planejamento está de acordo com os Objetivos Organizacionais. O objeto da contratação insere-se nos objetivos Organizacionais, voltado para a </w:t>
      </w:r>
      <w:r>
        <w:rPr>
          <w:sz w:val="24"/>
          <w:szCs w:val="24"/>
        </w:rPr>
        <w:t>dimensão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humana, </w:t>
      </w:r>
      <w:r>
        <w:rPr>
          <w:sz w:val="24"/>
          <w:szCs w:val="24"/>
        </w:rPr>
        <w:t>proporcionando as melhores práticas de saúde, através do tratamento da água consumida na OM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, otimizar os processos administrativos, e a gestão financeira e orçamentária</w:t>
      </w:r>
      <w:r>
        <w:rPr>
          <w:sz w:val="24"/>
          <w:szCs w:val="24"/>
        </w:rPr>
        <w:t>, conforme o PCA 2023.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235" w:after="0"/>
        <w:ind w:left="114" w:right="339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tabs>
          <w:tab w:val="clear" w:pos="720"/>
          <w:tab w:val="left" w:pos="519" w:leader="none"/>
        </w:tabs>
        <w:spacing w:lineRule="auto" w:line="240" w:before="89" w:after="0"/>
        <w:ind w:left="141" w:right="-52" w:hanging="0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>
        <w:rPr>
          <w:rFonts w:eastAsia="Liberation Serif" w:cs="Liberation Serif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  <w:t xml:space="preserve"> BENEFÍCIOS A SEREM ALCANÇADOS COM A CONTRATAÇÃO / DEMONSTRATIVO DOS RESULTADOS PRETENDIDOS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234" w:after="0"/>
        <w:ind w:left="114" w:right="-52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>O Parque Regional de Manutenção/5 almeja com a presente aquisição, resultados positivos em termos de economicidade, eficácia, eficiência e de melhor aproveitamento dos recursos humanos, materiais e financeiros disponíveis, uma vez que, conforme elencado da justificativa da aquisição.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6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184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Portanto, conclui-se que, a </w:t>
      </w:r>
      <w:r>
        <w:rPr>
          <w:sz w:val="24"/>
          <w:szCs w:val="24"/>
        </w:rPr>
        <w:t xml:space="preserve">aquisição do material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deve ser realizada tendo em vista a</w:t>
      </w:r>
      <w:r>
        <w:rPr>
          <w:sz w:val="24"/>
          <w:szCs w:val="24"/>
        </w:rPr>
        <w:t>s melhores práticas de saúde, através do tratamento da água consumida na OM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tabs>
          <w:tab w:val="clear" w:pos="720"/>
          <w:tab w:val="left" w:pos="519" w:leader="none"/>
        </w:tabs>
        <w:spacing w:lineRule="auto" w:line="240" w:before="161" w:after="0"/>
        <w:ind w:left="141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13. PROVIDÊNCIAS A SEREM ADOTADAS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235" w:after="0"/>
        <w:ind w:left="114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</w:r>
      <w:r>
        <w:rPr>
          <w:sz w:val="24"/>
          <w:szCs w:val="24"/>
        </w:rPr>
        <w:t>Pregoeiro deve atentar para que os produtos ofertados pelas empresas seja aquele que se pretende adquirir, qual seja, hipoclorito de sódio destinado a desinfecção de água para o consumo humano.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6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3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>Considerar a necessidade de um militar do almoxa</w:t>
      </w:r>
      <w:r>
        <w:rPr>
          <w:sz w:val="24"/>
          <w:szCs w:val="24"/>
        </w:rPr>
        <w:t>rifado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acompanhar a fase de </w:t>
      </w:r>
      <w:r>
        <w:rPr>
          <w:sz w:val="24"/>
          <w:szCs w:val="24"/>
        </w:rPr>
        <w:t>aceitação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das propostas a fim sanar dúvidas que ocorram durante a execução do serviço.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3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0" w:after="0"/>
        <w:ind w:left="114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tabs>
          <w:tab w:val="clear" w:pos="720"/>
          <w:tab w:val="left" w:pos="519" w:leader="none"/>
        </w:tabs>
        <w:spacing w:lineRule="auto" w:line="240" w:before="0" w:after="0"/>
        <w:ind w:left="141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14. POSSÍVEIS IMPACTOS AMBIENTAIS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64" w:before="235" w:after="0"/>
        <w:ind w:left="114" w:right="184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 xml:space="preserve"> Não se aplica, neste caso, critérios e práticas de sustentabilidade que devem ser veiculados como especificação técnica do objeto ou como obrigação da empresa contratada.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6" w:after="0"/>
        <w:ind w:left="0" w:right="0" w:hanging="0"/>
        <w:jc w:val="both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8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FF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Ttulo1"/>
        <w:tabs>
          <w:tab w:val="clear" w:pos="720"/>
          <w:tab w:val="left" w:pos="519" w:leader="none"/>
        </w:tabs>
        <w:spacing w:lineRule="auto" w:line="240" w:before="0" w:after="0"/>
        <w:ind w:left="0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15. VIABILIDADE DA CONTRATAÇÃO</w:t>
      </w:r>
    </w:p>
    <w:p>
      <w:pPr>
        <w:pStyle w:val="Normal"/>
        <w:tabs>
          <w:tab w:val="clear" w:pos="720"/>
          <w:tab w:val="left" w:pos="519" w:leader="none"/>
        </w:tabs>
        <w:rPr/>
      </w:pPr>
      <w:r>
        <w:rPr/>
      </w:r>
    </w:p>
    <w:p>
      <w:pPr>
        <w:pStyle w:val="Normal"/>
        <w:spacing w:lineRule="auto" w:line="264"/>
        <w:ind w:left="114" w:right="184" w:firstLine="736"/>
        <w:jc w:val="both"/>
        <w:rPr>
          <w:sz w:val="24"/>
          <w:szCs w:val="24"/>
        </w:rPr>
      </w:pPr>
      <w:r>
        <w:rPr>
          <w:sz w:val="24"/>
          <w:szCs w:val="24"/>
        </w:rPr>
        <w:t>O objeto da contratação está intimamente relacionado as melhores práticas de saúde, através do tratamento da água consumida na OM, a fim de que seja minimizada a chance de problemas de saúde relacionados ao consumo da água tratada na própria OM</w:t>
      </w:r>
    </w:p>
    <w:p>
      <w:pPr>
        <w:pStyle w:val="Normal"/>
        <w:spacing w:lineRule="auto" w:line="264"/>
        <w:ind w:left="114" w:right="184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64"/>
        <w:ind w:left="114" w:hanging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Os valores de referência são compatíveis com valores de mercado e, os quantitativos estimados para a aquisição estão de acordo com planejamento de demanda .</w:t>
      </w:r>
    </w:p>
    <w:p>
      <w:pPr>
        <w:pStyle w:val="Normal"/>
        <w:tabs>
          <w:tab w:val="clear" w:pos="720"/>
          <w:tab w:val="left" w:pos="519" w:leader="none"/>
        </w:tabs>
        <w:rPr/>
      </w:pPr>
      <w:r>
        <w:rPr/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9" w:after="0"/>
        <w:ind w:left="114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( X ) Esta equipe de planejamento declara viável esta contratação com base neste Estudo Técnico Preliminar.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9" w:after="0"/>
        <w:ind w:left="114"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9" w:after="0"/>
        <w:ind w:left="114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(  ) Esta equipe de planejamento declara viável com restrições esta contratação com base neste Estudo Técnico Preliminar.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9" w:after="0"/>
        <w:ind w:left="114"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9" w:after="0"/>
        <w:ind w:left="114" w:right="0" w:hanging="0"/>
        <w:jc w:val="left"/>
        <w:rPr>
          <w:color w:val="FF0000"/>
          <w:sz w:val="24"/>
          <w:szCs w:val="24"/>
        </w:rPr>
      </w:pPr>
      <w:r>
        <w:rPr>
          <w:sz w:val="24"/>
          <w:szCs w:val="24"/>
        </w:rPr>
        <w:t>(  ) Esta equipe de planejamento declara inviável esta contratação com base neste Estudo Técnico Preliminar.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9" w:after="0"/>
        <w:ind w:left="114" w:right="0" w:hanging="0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239" w:after="0"/>
        <w:ind w:left="114" w:right="0" w:hanging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16. RESPONSÁVEIS</w:t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Liberation Serif" w:hAnsi="Liberation Serif" w:eastAsia="Liberation Serif" w:cs="Liberation Serif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Table2"/>
        <w:tblW w:w="9591" w:type="dxa"/>
        <w:jc w:val="left"/>
        <w:tblInd w:w="0" w:type="dxa"/>
        <w:tblLayout w:type="fixed"/>
        <w:tblCellMar>
          <w:top w:w="100" w:type="dxa"/>
          <w:left w:w="90" w:type="dxa"/>
          <w:bottom w:w="100" w:type="dxa"/>
          <w:right w:w="100" w:type="dxa"/>
        </w:tblCellMar>
        <w:tblLook w:val="0600"/>
      </w:tblPr>
      <w:tblGrid>
        <w:gridCol w:w="2396"/>
        <w:gridCol w:w="2123"/>
        <w:gridCol w:w="2719"/>
        <w:gridCol w:w="2353"/>
      </w:tblGrid>
      <w:tr>
        <w:trPr/>
        <w:tc>
          <w:tcPr>
            <w:tcW w:w="23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</w:t>
            </w:r>
          </w:p>
        </w:tc>
        <w:tc>
          <w:tcPr>
            <w:tcW w:w="2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CPF</w:t>
            </w:r>
          </w:p>
        </w:tc>
        <w:tc>
          <w:tcPr>
            <w:tcW w:w="2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  <w:tc>
          <w:tcPr>
            <w:tcW w:w="23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FUNÇÃO</w:t>
            </w:r>
          </w:p>
        </w:tc>
      </w:tr>
      <w:tr>
        <w:trPr/>
        <w:tc>
          <w:tcPr>
            <w:tcW w:w="23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</w:tabs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GEORGE DE ARAUJO SOARES</w:t>
            </w:r>
          </w:p>
        </w:tc>
        <w:tc>
          <w:tcPr>
            <w:tcW w:w="2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033.558.187-04</w:t>
            </w:r>
          </w:p>
        </w:tc>
        <w:tc>
          <w:tcPr>
            <w:tcW w:w="2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george.araujo@eb.mil.br</w:t>
            </w:r>
          </w:p>
        </w:tc>
        <w:tc>
          <w:tcPr>
            <w:tcW w:w="23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Integrante Requisitante da  Equipe de Planejamento </w:t>
            </w:r>
          </w:p>
        </w:tc>
      </w:tr>
      <w:tr>
        <w:trPr/>
        <w:tc>
          <w:tcPr>
            <w:tcW w:w="23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</w:tabs>
              <w:ind w:firstLine="113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DANUTA LUCIA DOS SANTOS MAIA DE CARVALHO </w:t>
            </w:r>
          </w:p>
        </w:tc>
        <w:tc>
          <w:tcPr>
            <w:tcW w:w="2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055.111.669-28</w:t>
            </w:r>
          </w:p>
        </w:tc>
        <w:tc>
          <w:tcPr>
            <w:tcW w:w="2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danuta.edificacoes@gmail.com</w:t>
            </w:r>
          </w:p>
        </w:tc>
        <w:tc>
          <w:tcPr>
            <w:tcW w:w="23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Integrante Técnico da  Equipe de Planejamento </w:t>
            </w:r>
          </w:p>
        </w:tc>
      </w:tr>
      <w:tr>
        <w:trPr/>
        <w:tc>
          <w:tcPr>
            <w:tcW w:w="23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</w:tabs>
              <w:ind w:firstLine="113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KELLY ANGELICA BORDALO DAS SILVA </w:t>
            </w:r>
          </w:p>
        </w:tc>
        <w:tc>
          <w:tcPr>
            <w:tcW w:w="21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146.553.407-54</w:t>
            </w:r>
          </w:p>
        </w:tc>
        <w:tc>
          <w:tcPr>
            <w:tcW w:w="2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kellybordalo3003@gmail.com</w:t>
            </w:r>
          </w:p>
        </w:tc>
        <w:tc>
          <w:tcPr>
            <w:tcW w:w="23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</w:rPr>
              <w:t>Integrante Administrativo da  Equipe de Planejamento</w:t>
            </w:r>
          </w:p>
        </w:tc>
      </w:tr>
    </w:tbl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4" w:after="0"/>
        <w:ind w:left="0" w:right="0" w:hanging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4" w:after="0"/>
        <w:ind w:left="0" w:right="0" w:hanging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4" w:after="0"/>
        <w:ind w:left="0" w:right="0" w:hanging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4" w:after="0"/>
        <w:ind w:left="0" w:right="0" w:hanging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88" w:after="0"/>
        <w:ind w:left="2174" w:right="2134" w:hanging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88" w:after="0"/>
        <w:ind w:left="2174" w:right="2134" w:hanging="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40" w:right="1180" w:gutter="0" w:header="469" w:top="1060" w:footer="467" w:bottom="66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Times new roman">
    <w:charset w:val="00"/>
    <w:family w:val="roman"/>
    <w:pitch w:val="variable"/>
  </w:font>
  <w:font w:name="Arial Nova">
    <w:charset w:val="00"/>
    <w:family w:val="roman"/>
    <w:pitch w:val="variable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pageBreakBefore w:val="false"/>
      <w:widowControl/>
      <w:shd w:val="clear" w:fill="auto"/>
      <w:spacing w:lineRule="auto" w:line="4" w:before="0" w:after="0"/>
      <w:ind w:left="0" w:right="0" w:hanging="0"/>
      <w:jc w:val="left"/>
      <w:rPr>
        <w:rFonts w:ascii="Liberation Serif" w:hAnsi="Liberation Serif" w:eastAsia="Liberation Serif" w:cs="Liberation Serif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vertAlign w:val="baseline"/>
      </w:rPr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column">
                <wp:posOffset>5791200</wp:posOffset>
              </wp:positionH>
              <wp:positionV relativeFrom="paragraph">
                <wp:posOffset>10248900</wp:posOffset>
              </wp:positionV>
              <wp:extent cx="342265" cy="163830"/>
              <wp:effectExtent l="5715" t="5080" r="4445" b="5080"/>
              <wp:wrapNone/>
              <wp:docPr id="2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2360" cy="16380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left="60" w:right="0" w:firstLine="60"/>
                            <w:jc w:val="left"/>
                            <w:rPr/>
                          </w:pPr>
                          <w:r>
                            <w:rPr>
                              <w:rFonts w:eastAsia="Liberation Serif" w:cs="Liberation Serif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8"/>
                              <w:sz w:val="18"/>
                              <w:vertAlign w:val="baseline"/>
                            </w:rPr>
                            <w:t xml:space="preserve"> </w:t>
                          </w:r>
                          <w:r>
                            <w:rPr>
                              <w:rFonts w:eastAsia="Liberation Serif" w:cs="Liberation Serif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8"/>
                              <w:sz w:val="18"/>
                              <w:vertAlign w:val="baseline"/>
                            </w:rPr>
                            <w:t>PAGE 2de 4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path="m0,0l-2147483645,0l-2147483645,-2147483646l0,-2147483646xe" stroked="t" o:allowincell="f" style="position:absolute;margin-left:456pt;margin-top:807pt;width:26.9pt;height:12.85pt;mso-wrap-style:square;v-text-anchor:top">
              <v:fill o:detectmouseclick="t" on="false"/>
              <v:stroke color="black" weight="9360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left="60" w:right="0" w:firstLine="60"/>
                      <w:jc w:val="left"/>
                      <w:rPr/>
                    </w:pPr>
                    <w:r>
                      <w:rPr>
                        <w:rFonts w:eastAsia="Liberation Serif" w:cs="Liberation Serif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8"/>
                        <w:sz w:val="18"/>
                        <w:vertAlign w:val="baseline"/>
                      </w:rPr>
                      <w:t xml:space="preserve"> </w:t>
                    </w:r>
                    <w:r>
                      <w:rPr>
                        <w:rFonts w:eastAsia="Liberation Serif" w:cs="Liberation Serif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8"/>
                        <w:sz w:val="18"/>
                        <w:vertAlign w:val="baseline"/>
                      </w:rPr>
                      <w:t>PAGE 2de 4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pageBreakBefore w:val="false"/>
      <w:widowControl/>
      <w:shd w:val="clear" w:fill="auto"/>
      <w:spacing w:lineRule="auto" w:line="4" w:before="0" w:after="0"/>
      <w:ind w:left="0" w:right="0" w:hanging="0"/>
      <w:jc w:val="left"/>
      <w:rPr>
        <w:rFonts w:ascii="Liberation Serif" w:hAnsi="Liberation Serif" w:eastAsia="Liberation Serif" w:cs="Liberation Serif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vertAlign w:val="baseline"/>
      </w:rPr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column">
                <wp:posOffset>3111500</wp:posOffset>
              </wp:positionH>
              <wp:positionV relativeFrom="paragraph">
                <wp:posOffset>-12700</wp:posOffset>
              </wp:positionV>
              <wp:extent cx="3017520" cy="139065"/>
              <wp:effectExtent l="5080" t="5715" r="5080" b="4445"/>
              <wp:wrapNone/>
              <wp:docPr id="1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17520" cy="13896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left="20" w:right="0" w:firstLine="20"/>
                            <w:jc w:val="left"/>
                            <w:rPr/>
                          </w:pPr>
                          <w:r>
                            <w:rPr>
                              <w:rFonts w:eastAsia="Liberation Serif" w:cs="Liberation Serif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8"/>
                              <w:sz w:val="18"/>
                              <w:vertAlign w:val="baseline"/>
                            </w:rPr>
                            <w:t>ETP – Dispensa 40.2023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stroked="t" o:allowincell="f" style="position:absolute;margin-left:245pt;margin-top:-1pt;width:237.55pt;height:10.9pt;mso-wrap-style:square;v-text-anchor:top">
              <v:fill o:detectmouseclick="t" on="false"/>
              <v:stroke color="black" weight="9360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left="20" w:right="0" w:firstLine="20"/>
                      <w:jc w:val="left"/>
                      <w:rPr/>
                    </w:pPr>
                    <w:r>
                      <w:rPr>
                        <w:rFonts w:eastAsia="Liberation Serif" w:cs="Liberation Serif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8"/>
                        <w:sz w:val="18"/>
                        <w:vertAlign w:val="baseline"/>
                      </w:rPr>
                      <w:t>ETP – Dispensa 40.2023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84" w:hanging="270"/>
      </w:pPr>
      <w:rPr>
        <w:sz w:val="22"/>
        <w:b/>
        <w:szCs w:val="27"/>
        <w:rFonts w:ascii="Liberation Serif" w:hAnsi="Liberation Serif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88" w:hanging="475"/>
      </w:pPr>
      <w:rPr>
        <w:sz w:val="21"/>
        <w:b/>
        <w:szCs w:val="21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1580" w:hanging="475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81" w:hanging="475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3581" w:hanging="475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4582" w:hanging="475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583" w:hanging="475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6583" w:hanging="475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7584" w:hanging="475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Liberation Serif" w:hAnsi="Liberation Serif" w:eastAsia="Liberation Serif" w:cs="Liberation Serif"/>
      <w:color w:val="00000A"/>
      <w:kern w:val="0"/>
      <w:sz w:val="22"/>
      <w:szCs w:val="22"/>
      <w:lang w:val="pt-PT" w:eastAsia="zh-CN" w:bidi="hi-IN"/>
    </w:rPr>
  </w:style>
  <w:style w:type="paragraph" w:styleId="Ttulo1">
    <w:name w:val="Heading 1"/>
    <w:basedOn w:val="Normal"/>
    <w:next w:val="Normal"/>
    <w:qFormat/>
    <w:pPr>
      <w:widowControl w:val="false"/>
      <w:bidi w:val="0"/>
      <w:ind w:left="384" w:right="0" w:hanging="270"/>
      <w:jc w:val="left"/>
    </w:pPr>
    <w:rPr>
      <w:rFonts w:ascii="Liberation Serif" w:hAnsi="Liberation Serif" w:eastAsia="Liberation Serif" w:cs="Liberation Serif"/>
      <w:b/>
      <w:color w:val="00000A"/>
      <w:kern w:val="0"/>
      <w:sz w:val="27"/>
      <w:szCs w:val="27"/>
      <w:lang w:val="pt-PT" w:eastAsia="zh-CN" w:bidi="hi-IN"/>
    </w:rPr>
  </w:style>
  <w:style w:type="paragraph" w:styleId="Ttulo2">
    <w:name w:val="Heading 2"/>
    <w:basedOn w:val="Normal"/>
    <w:next w:val="Normal"/>
    <w:qFormat/>
    <w:pPr>
      <w:keepNext w:val="true"/>
      <w:keepLines/>
      <w:pageBreakBefore w:val="false"/>
      <w:widowControl w:val="false"/>
      <w:bidi w:val="0"/>
      <w:spacing w:lineRule="auto" w:line="240" w:before="360" w:after="80"/>
      <w:jc w:val="left"/>
    </w:pPr>
    <w:rPr>
      <w:rFonts w:ascii="Liberation Serif" w:hAnsi="Liberation Serif" w:eastAsia="Liberation Serif" w:cs="Liberation Serif"/>
      <w:b/>
      <w:color w:val="00000A"/>
      <w:kern w:val="0"/>
      <w:sz w:val="36"/>
      <w:szCs w:val="36"/>
      <w:lang w:val="pt-PT" w:eastAsia="zh-CN" w:bidi="hi-IN"/>
    </w:rPr>
  </w:style>
  <w:style w:type="paragraph" w:styleId="Ttulo3">
    <w:name w:val="Heading 3"/>
    <w:basedOn w:val="Normal"/>
    <w:next w:val="Normal"/>
    <w:qFormat/>
    <w:pPr>
      <w:keepNext w:val="true"/>
      <w:keepLines/>
      <w:pageBreakBefore w:val="false"/>
      <w:widowControl w:val="false"/>
      <w:bidi w:val="0"/>
      <w:spacing w:lineRule="auto" w:line="240" w:before="280" w:after="80"/>
      <w:jc w:val="left"/>
    </w:pPr>
    <w:rPr>
      <w:rFonts w:ascii="Liberation Serif" w:hAnsi="Liberation Serif" w:eastAsia="Liberation Serif" w:cs="Liberation Serif"/>
      <w:b/>
      <w:color w:val="00000A"/>
      <w:kern w:val="0"/>
      <w:sz w:val="28"/>
      <w:szCs w:val="28"/>
      <w:lang w:val="pt-PT" w:eastAsia="zh-CN" w:bidi="hi-IN"/>
    </w:rPr>
  </w:style>
  <w:style w:type="paragraph" w:styleId="Ttulo4">
    <w:name w:val="Heading 4"/>
    <w:basedOn w:val="Normal"/>
    <w:next w:val="Normal"/>
    <w:qFormat/>
    <w:pPr>
      <w:keepNext w:val="true"/>
      <w:keepLines/>
      <w:pageBreakBefore w:val="false"/>
      <w:widowControl w:val="false"/>
      <w:bidi w:val="0"/>
      <w:spacing w:lineRule="auto" w:line="240" w:before="240" w:after="40"/>
      <w:jc w:val="left"/>
    </w:pPr>
    <w:rPr>
      <w:rFonts w:ascii="Liberation Serif" w:hAnsi="Liberation Serif" w:eastAsia="Liberation Serif" w:cs="Liberation Serif"/>
      <w:b/>
      <w:color w:val="00000A"/>
      <w:kern w:val="0"/>
      <w:sz w:val="24"/>
      <w:szCs w:val="24"/>
      <w:lang w:val="pt-PT" w:eastAsia="zh-CN" w:bidi="hi-IN"/>
    </w:rPr>
  </w:style>
  <w:style w:type="paragraph" w:styleId="Ttulo5">
    <w:name w:val="Heading 5"/>
    <w:basedOn w:val="Normal"/>
    <w:next w:val="Normal"/>
    <w:qFormat/>
    <w:pPr>
      <w:keepNext w:val="true"/>
      <w:keepLines/>
      <w:pageBreakBefore w:val="false"/>
      <w:widowControl w:val="false"/>
      <w:bidi w:val="0"/>
      <w:spacing w:lineRule="auto" w:line="240" w:before="220" w:after="40"/>
      <w:jc w:val="left"/>
    </w:pPr>
    <w:rPr>
      <w:rFonts w:ascii="Liberation Serif" w:hAnsi="Liberation Serif" w:eastAsia="Liberation Serif" w:cs="Liberation Serif"/>
      <w:b/>
      <w:color w:val="00000A"/>
      <w:kern w:val="0"/>
      <w:sz w:val="22"/>
      <w:szCs w:val="22"/>
      <w:lang w:val="pt-PT" w:eastAsia="zh-CN" w:bidi="hi-IN"/>
    </w:rPr>
  </w:style>
  <w:style w:type="paragraph" w:styleId="Ttulo6">
    <w:name w:val="Heading 6"/>
    <w:basedOn w:val="Normal"/>
    <w:next w:val="Normal"/>
    <w:qFormat/>
    <w:pPr>
      <w:keepNext w:val="true"/>
      <w:keepLines/>
      <w:pageBreakBefore w:val="false"/>
      <w:widowControl w:val="false"/>
      <w:bidi w:val="0"/>
      <w:spacing w:lineRule="auto" w:line="240" w:before="200" w:after="40"/>
      <w:jc w:val="left"/>
    </w:pPr>
    <w:rPr>
      <w:rFonts w:ascii="Liberation Serif" w:hAnsi="Liberation Serif" w:eastAsia="Liberation Serif" w:cs="Liberation Serif"/>
      <w:b/>
      <w:color w:val="00000A"/>
      <w:kern w:val="0"/>
      <w:sz w:val="20"/>
      <w:szCs w:val="20"/>
      <w:lang w:val="pt-PT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O-normal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00000A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LO-normal"/>
    <w:next w:val="Normal"/>
    <w:qFormat/>
    <w:pPr>
      <w:spacing w:lineRule="auto" w:line="240" w:before="85" w:after="0"/>
      <w:ind w:left="2174" w:right="2145" w:hanging="0"/>
      <w:jc w:val="center"/>
    </w:pPr>
    <w:rPr>
      <w:rFonts w:ascii="Liberation Serif" w:hAnsi="Liberation Serif" w:eastAsia="Liberation Serif" w:cs="Liberation Serif"/>
      <w:b/>
      <w:sz w:val="36"/>
      <w:szCs w:val="36"/>
    </w:rPr>
  </w:style>
  <w:style w:type="paragraph" w:styleId="Subttulo">
    <w:name w:val="Subtitle"/>
    <w:basedOn w:val="LO-normal"/>
    <w:next w:val="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Normal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LibreOffice/7.5.4.2$Windows_X86_64 LibreOffice_project/36ccfdc35048b057fd9854c757a8b67ec53977b6</Application>
  <AppVersion>15.0000</AppVersion>
  <Pages>4</Pages>
  <Words>944</Words>
  <Characters>5495</Characters>
  <CharactersWithSpaces>6416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2023-09-08T13:43:47Z</dcterms:modified>
  <cp:revision>7</cp:revision>
  <dc:subject/>
  <dc:title/>
</cp:coreProperties>
</file>